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6189" w14:textId="77777777" w:rsidR="006E40EB" w:rsidRPr="006E40EB" w:rsidRDefault="006E40EB" w:rsidP="00134E3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 w:rsidRPr="006E40EB">
        <w:rPr>
          <w:rFonts w:cs="Calibri"/>
          <w:b/>
          <w:bCs/>
          <w:sz w:val="28"/>
          <w:szCs w:val="28"/>
        </w:rPr>
        <w:t xml:space="preserve">DECEPTION FORM </w:t>
      </w:r>
    </w:p>
    <w:p w14:paraId="09C7B16F" w14:textId="2844F815" w:rsidR="003870F7" w:rsidRPr="003672B1" w:rsidRDefault="008E5598" w:rsidP="001318E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3672B1">
        <w:rPr>
          <w:rFonts w:cs="Calibri"/>
          <w:sz w:val="24"/>
          <w:szCs w:val="24"/>
        </w:rPr>
        <w:t>Some types of research can be carried out only if the participants do not know the true purpose of the research in advance. However, because such studies involve a potential breach of trust, they should not be entered into without sober reflection on the necessity for us</w:t>
      </w:r>
      <w:r w:rsidR="008F0836">
        <w:rPr>
          <w:rFonts w:cs="Calibri"/>
          <w:sz w:val="24"/>
          <w:szCs w:val="24"/>
        </w:rPr>
        <w:t>ing</w:t>
      </w:r>
      <w:r w:rsidRPr="003672B1">
        <w:rPr>
          <w:rFonts w:cs="Calibri"/>
          <w:sz w:val="24"/>
          <w:szCs w:val="24"/>
        </w:rPr>
        <w:t xml:space="preserve"> deception and its potential impact on participants</w:t>
      </w:r>
      <w:r w:rsidR="008F0836">
        <w:rPr>
          <w:rFonts w:cs="Calibri"/>
          <w:sz w:val="24"/>
          <w:szCs w:val="24"/>
        </w:rPr>
        <w:t>,</w:t>
      </w:r>
      <w:r w:rsidRPr="003672B1">
        <w:rPr>
          <w:rFonts w:cs="Calibri"/>
          <w:sz w:val="24"/>
          <w:szCs w:val="24"/>
        </w:rPr>
        <w:t xml:space="preserve"> once disclosed. Researchers intending to conduct studies involving deception </w:t>
      </w:r>
      <w:r w:rsidR="00753BE7">
        <w:rPr>
          <w:rFonts w:cs="Calibri"/>
          <w:sz w:val="24"/>
          <w:szCs w:val="24"/>
        </w:rPr>
        <w:t xml:space="preserve">will need to </w:t>
      </w:r>
      <w:r w:rsidRPr="003672B1">
        <w:rPr>
          <w:rFonts w:cs="Calibri"/>
          <w:sz w:val="24"/>
          <w:szCs w:val="24"/>
        </w:rPr>
        <w:t>ensure that the</w:t>
      </w:r>
      <w:r w:rsidR="008F0836">
        <w:rPr>
          <w:rFonts w:cs="Calibri"/>
          <w:sz w:val="24"/>
          <w:szCs w:val="24"/>
        </w:rPr>
        <w:t>ir</w:t>
      </w:r>
      <w:r w:rsidRPr="003672B1">
        <w:rPr>
          <w:rFonts w:cs="Calibri"/>
          <w:sz w:val="24"/>
          <w:szCs w:val="24"/>
        </w:rPr>
        <w:t xml:space="preserve"> research meets the conditions outlined in </w:t>
      </w:r>
      <w:r w:rsidR="00753BE7">
        <w:rPr>
          <w:rFonts w:cs="Calibri"/>
          <w:sz w:val="24"/>
          <w:szCs w:val="24"/>
        </w:rPr>
        <w:t xml:space="preserve">the </w:t>
      </w:r>
      <w:r w:rsidRPr="003672B1">
        <w:rPr>
          <w:rFonts w:cs="Calibri"/>
          <w:sz w:val="24"/>
          <w:szCs w:val="24"/>
        </w:rPr>
        <w:t>TCPS</w:t>
      </w:r>
      <w:r w:rsidR="008F0836">
        <w:rPr>
          <w:rFonts w:cs="Calibri"/>
          <w:sz w:val="24"/>
          <w:szCs w:val="24"/>
        </w:rPr>
        <w:t xml:space="preserve"> </w:t>
      </w:r>
      <w:r w:rsidRPr="003672B1">
        <w:rPr>
          <w:rFonts w:cs="Calibri"/>
          <w:sz w:val="24"/>
          <w:szCs w:val="24"/>
        </w:rPr>
        <w:t xml:space="preserve">2 </w:t>
      </w:r>
      <w:r w:rsidRPr="001A433A">
        <w:rPr>
          <w:rFonts w:cs="Calibri"/>
          <w:sz w:val="24"/>
          <w:szCs w:val="24"/>
        </w:rPr>
        <w:t>Article 3.7</w:t>
      </w:r>
      <w:r w:rsidR="006F5045" w:rsidRPr="001A433A">
        <w:rPr>
          <w:rFonts w:cs="Calibri"/>
          <w:sz w:val="24"/>
          <w:szCs w:val="24"/>
        </w:rPr>
        <w:t>A</w:t>
      </w:r>
      <w:r w:rsidR="006F5045">
        <w:rPr>
          <w:rFonts w:cs="Calibri"/>
          <w:sz w:val="24"/>
          <w:szCs w:val="24"/>
        </w:rPr>
        <w:t>.</w:t>
      </w:r>
      <w:r w:rsidR="001A433A" w:rsidRPr="001A433A">
        <w:rPr>
          <w:rFonts w:cs="Calibri"/>
          <w:b/>
          <w:sz w:val="24"/>
          <w:szCs w:val="24"/>
        </w:rPr>
        <w:t>*</w:t>
      </w:r>
    </w:p>
    <w:p w14:paraId="167319E0" w14:textId="77777777" w:rsidR="00974E41" w:rsidRPr="00974E41" w:rsidRDefault="00974E41" w:rsidP="00974E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color w:val="000000"/>
          <w:sz w:val="24"/>
          <w:szCs w:val="24"/>
          <w:lang w:val="en"/>
        </w:rPr>
      </w:pPr>
      <w:r w:rsidRPr="00974E41">
        <w:rPr>
          <w:rFonts w:eastAsia="Times New Roman" w:cs="Calibri"/>
          <w:color w:val="000000"/>
          <w:sz w:val="24"/>
          <w:szCs w:val="24"/>
          <w:lang w:val="en"/>
        </w:rPr>
        <w:t>the research involves no more than minimal risk to the participants;</w:t>
      </w:r>
    </w:p>
    <w:p w14:paraId="58B4726D" w14:textId="77777777" w:rsidR="00974E41" w:rsidRPr="00974E41" w:rsidRDefault="00974E41" w:rsidP="00974E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color w:val="000000"/>
          <w:sz w:val="24"/>
          <w:szCs w:val="24"/>
          <w:lang w:val="en"/>
        </w:rPr>
      </w:pPr>
      <w:r w:rsidRPr="00974E41">
        <w:rPr>
          <w:rFonts w:eastAsia="Times New Roman" w:cs="Calibri"/>
          <w:color w:val="000000"/>
          <w:sz w:val="24"/>
          <w:szCs w:val="24"/>
          <w:lang w:val="en"/>
        </w:rPr>
        <w:t>the alteration to consent requirements is unlikely to adversely affect the welfare of participants;</w:t>
      </w:r>
    </w:p>
    <w:p w14:paraId="1D96A773" w14:textId="6FFFBCD2" w:rsidR="00974E41" w:rsidRPr="00974E41" w:rsidRDefault="00974E41" w:rsidP="00974E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color w:val="000000"/>
          <w:sz w:val="24"/>
          <w:szCs w:val="24"/>
          <w:lang w:val="en"/>
        </w:rPr>
      </w:pPr>
      <w:r w:rsidRPr="00974E41">
        <w:rPr>
          <w:rFonts w:eastAsia="Times New Roman" w:cs="Calibri"/>
          <w:color w:val="000000"/>
          <w:sz w:val="24"/>
          <w:szCs w:val="24"/>
          <w:lang w:val="en"/>
        </w:rPr>
        <w:t>it is impossible or impracticable to carry out the research and to address the research question properly, given the research design, if the prior consent of participants is required;</w:t>
      </w:r>
    </w:p>
    <w:p w14:paraId="37A2B72D" w14:textId="77777777" w:rsidR="00974E41" w:rsidRPr="00974E41" w:rsidRDefault="00974E41" w:rsidP="00974E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color w:val="000000"/>
          <w:sz w:val="24"/>
          <w:szCs w:val="24"/>
          <w:lang w:val="en"/>
        </w:rPr>
      </w:pPr>
      <w:r w:rsidRPr="00974E41">
        <w:rPr>
          <w:rFonts w:eastAsia="Times New Roman" w:cs="Calibri"/>
          <w:color w:val="000000"/>
          <w:sz w:val="24"/>
          <w:szCs w:val="24"/>
          <w:lang w:val="en"/>
        </w:rPr>
        <w:t>in the case of a proposed alteration, the precise nature and extent of any proposed alteration is defined; and</w:t>
      </w:r>
    </w:p>
    <w:p w14:paraId="785A0F5D" w14:textId="77777777" w:rsidR="00974E41" w:rsidRPr="00974E41" w:rsidRDefault="00974E41" w:rsidP="00974E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color w:val="000000"/>
          <w:sz w:val="24"/>
          <w:szCs w:val="24"/>
          <w:lang w:val="en"/>
        </w:rPr>
      </w:pPr>
      <w:r w:rsidRPr="00974E41">
        <w:rPr>
          <w:rFonts w:eastAsia="Times New Roman" w:cs="Calibri"/>
          <w:color w:val="000000"/>
          <w:sz w:val="24"/>
          <w:szCs w:val="24"/>
          <w:lang w:val="en"/>
        </w:rPr>
        <w:t>the plan to provide a debriefing (if any) that may also offer participants the possibility of refusing consent and/or withdrawing data and/or human biological materials, shall be in accordance with Article 3.7B.</w:t>
      </w:r>
    </w:p>
    <w:p w14:paraId="6602F9C1" w14:textId="0AEF61D3" w:rsidR="008E5598" w:rsidRPr="003672B1" w:rsidRDefault="008E5598" w:rsidP="00753BE7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4"/>
          <w:szCs w:val="24"/>
        </w:rPr>
      </w:pPr>
      <w:r w:rsidRPr="003672B1">
        <w:rPr>
          <w:rFonts w:cs="Calibri"/>
          <w:sz w:val="24"/>
          <w:szCs w:val="24"/>
        </w:rPr>
        <w:t xml:space="preserve">As </w:t>
      </w:r>
      <w:r w:rsidR="006F5045">
        <w:rPr>
          <w:rFonts w:cs="Calibri"/>
          <w:sz w:val="24"/>
          <w:szCs w:val="24"/>
        </w:rPr>
        <w:t xml:space="preserve">noted in the </w:t>
      </w:r>
      <w:r w:rsidRPr="003672B1">
        <w:rPr>
          <w:rFonts w:cs="Calibri"/>
          <w:sz w:val="24"/>
          <w:szCs w:val="24"/>
        </w:rPr>
        <w:t>TCPS</w:t>
      </w:r>
      <w:r w:rsidR="00496CF0">
        <w:rPr>
          <w:rFonts w:cs="Calibri"/>
          <w:sz w:val="24"/>
          <w:szCs w:val="24"/>
        </w:rPr>
        <w:t xml:space="preserve"> </w:t>
      </w:r>
      <w:r w:rsidRPr="003672B1">
        <w:rPr>
          <w:rFonts w:cs="Calibri"/>
          <w:sz w:val="24"/>
          <w:szCs w:val="24"/>
        </w:rPr>
        <w:t>2, debriefing is an important mechanism in maintaining the participant’s trust in the research community and should be proportional to the sen</w:t>
      </w:r>
      <w:r w:rsidR="001318E8">
        <w:rPr>
          <w:rFonts w:cs="Calibri"/>
          <w:sz w:val="24"/>
          <w:szCs w:val="24"/>
        </w:rPr>
        <w:t xml:space="preserve">sitivity of the issue studied. </w:t>
      </w:r>
      <w:r w:rsidRPr="003672B1">
        <w:rPr>
          <w:rFonts w:cs="Calibri"/>
          <w:sz w:val="24"/>
          <w:szCs w:val="24"/>
        </w:rPr>
        <w:t>Where minor deception has been used, often the debriefing can be a simple candid disclosure. However, in more sensitive research, researchers should provide a full explanation of why participants were misled, why it was necessary and express their concern about the welfare of participants. Re</w:t>
      </w:r>
      <w:r w:rsidR="000811F0">
        <w:rPr>
          <w:rFonts w:cs="Calibri"/>
          <w:sz w:val="24"/>
          <w:szCs w:val="24"/>
        </w:rPr>
        <w:t>-</w:t>
      </w:r>
      <w:r w:rsidRPr="003672B1">
        <w:rPr>
          <w:rFonts w:cs="Calibri"/>
          <w:sz w:val="24"/>
          <w:szCs w:val="24"/>
        </w:rPr>
        <w:t>establishing trust that might have been lost is an important dimension of the debriefing process and researchers should be sensitive to participants’ needs, feelings, reactions and concerns.</w:t>
      </w:r>
      <w:r w:rsidR="008F0836">
        <w:rPr>
          <w:rFonts w:cs="Calibri"/>
          <w:sz w:val="24"/>
          <w:szCs w:val="24"/>
        </w:rPr>
        <w:t xml:space="preserve"> </w:t>
      </w:r>
    </w:p>
    <w:p w14:paraId="42699EE7" w14:textId="6BCF48FE" w:rsidR="003870F7" w:rsidRPr="00D72439" w:rsidRDefault="008E5598" w:rsidP="000D67B7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3672B1">
        <w:rPr>
          <w:rFonts w:cs="Calibri"/>
          <w:sz w:val="24"/>
          <w:szCs w:val="24"/>
        </w:rPr>
        <w:t xml:space="preserve">If your study involves deception, please </w:t>
      </w:r>
      <w:r w:rsidR="00257BF5">
        <w:rPr>
          <w:rFonts w:cs="Calibri"/>
          <w:sz w:val="24"/>
          <w:szCs w:val="24"/>
        </w:rPr>
        <w:t xml:space="preserve">(1) </w:t>
      </w:r>
      <w:r w:rsidRPr="00D72439">
        <w:rPr>
          <w:rFonts w:asciiTheme="minorHAnsi" w:hAnsiTheme="minorHAnsi" w:cstheme="minorHAnsi"/>
          <w:sz w:val="24"/>
          <w:szCs w:val="24"/>
        </w:rPr>
        <w:t>complete</w:t>
      </w:r>
      <w:r w:rsidR="00134E3F" w:rsidRPr="00D72439">
        <w:rPr>
          <w:rFonts w:asciiTheme="minorHAnsi" w:hAnsiTheme="minorHAnsi" w:cstheme="minorHAnsi"/>
          <w:sz w:val="24"/>
          <w:szCs w:val="24"/>
        </w:rPr>
        <w:t xml:space="preserve"> </w:t>
      </w:r>
      <w:r w:rsidRPr="00D72439">
        <w:rPr>
          <w:rFonts w:asciiTheme="minorHAnsi" w:hAnsiTheme="minorHAnsi" w:cstheme="minorHAnsi"/>
          <w:sz w:val="24"/>
          <w:szCs w:val="24"/>
        </w:rPr>
        <w:t xml:space="preserve">the </w:t>
      </w:r>
      <w:r w:rsidR="008F0836" w:rsidRPr="00D72439">
        <w:rPr>
          <w:rFonts w:asciiTheme="minorHAnsi" w:hAnsiTheme="minorHAnsi" w:cstheme="minorHAnsi"/>
          <w:sz w:val="24"/>
          <w:szCs w:val="24"/>
        </w:rPr>
        <w:t>next</w:t>
      </w:r>
      <w:r w:rsidRPr="00D72439">
        <w:rPr>
          <w:rFonts w:asciiTheme="minorHAnsi" w:hAnsiTheme="minorHAnsi" w:cstheme="minorHAnsi"/>
          <w:sz w:val="24"/>
          <w:szCs w:val="24"/>
        </w:rPr>
        <w:t xml:space="preserve"> page</w:t>
      </w:r>
      <w:r w:rsidR="00257BF5">
        <w:rPr>
          <w:rFonts w:asciiTheme="minorHAnsi" w:hAnsiTheme="minorHAnsi" w:cstheme="minorHAnsi"/>
          <w:sz w:val="24"/>
          <w:szCs w:val="24"/>
        </w:rPr>
        <w:t xml:space="preserve">; (2) </w:t>
      </w:r>
      <w:r w:rsidR="00D72439" w:rsidRPr="00D72439">
        <w:rPr>
          <w:rFonts w:asciiTheme="minorHAnsi" w:hAnsiTheme="minorHAnsi" w:cstheme="minorHAnsi"/>
          <w:sz w:val="24"/>
          <w:szCs w:val="16"/>
        </w:rPr>
        <w:t>delete this</w:t>
      </w:r>
      <w:r w:rsidR="00257BF5">
        <w:rPr>
          <w:rFonts w:asciiTheme="minorHAnsi" w:hAnsiTheme="minorHAnsi" w:cstheme="minorHAnsi"/>
          <w:sz w:val="24"/>
          <w:szCs w:val="16"/>
        </w:rPr>
        <w:t xml:space="preserve"> instruction</w:t>
      </w:r>
      <w:r w:rsidR="00D72439" w:rsidRPr="00D72439">
        <w:rPr>
          <w:rFonts w:asciiTheme="minorHAnsi" w:hAnsiTheme="minorHAnsi" w:cstheme="minorHAnsi"/>
          <w:sz w:val="24"/>
          <w:szCs w:val="16"/>
        </w:rPr>
        <w:t xml:space="preserve"> page</w:t>
      </w:r>
      <w:r w:rsidR="00257BF5">
        <w:rPr>
          <w:rFonts w:asciiTheme="minorHAnsi" w:hAnsiTheme="minorHAnsi" w:cstheme="minorHAnsi"/>
          <w:sz w:val="24"/>
          <w:szCs w:val="16"/>
        </w:rPr>
        <w:t xml:space="preserve"> before saving; (3) </w:t>
      </w:r>
      <w:r w:rsidR="008F0836" w:rsidRPr="00D72439">
        <w:rPr>
          <w:rFonts w:asciiTheme="minorHAnsi" w:hAnsiTheme="minorHAnsi" w:cstheme="minorHAnsi"/>
          <w:sz w:val="24"/>
          <w:szCs w:val="24"/>
        </w:rPr>
        <w:t xml:space="preserve">attach </w:t>
      </w:r>
      <w:r w:rsidR="00D72439">
        <w:rPr>
          <w:rFonts w:asciiTheme="minorHAnsi" w:hAnsiTheme="minorHAnsi" w:cstheme="minorHAnsi"/>
          <w:sz w:val="24"/>
          <w:szCs w:val="24"/>
        </w:rPr>
        <w:t xml:space="preserve">the </w:t>
      </w:r>
      <w:r w:rsidR="00257BF5">
        <w:rPr>
          <w:rFonts w:asciiTheme="minorHAnsi" w:hAnsiTheme="minorHAnsi" w:cstheme="minorHAnsi"/>
          <w:sz w:val="24"/>
          <w:szCs w:val="24"/>
        </w:rPr>
        <w:t>next page</w:t>
      </w:r>
      <w:r w:rsidR="00D72439">
        <w:rPr>
          <w:rFonts w:asciiTheme="minorHAnsi" w:hAnsiTheme="minorHAnsi" w:cstheme="minorHAnsi"/>
          <w:sz w:val="24"/>
          <w:szCs w:val="24"/>
        </w:rPr>
        <w:t xml:space="preserve"> </w:t>
      </w:r>
      <w:r w:rsidR="008F0836" w:rsidRPr="00D72439">
        <w:rPr>
          <w:rFonts w:asciiTheme="minorHAnsi" w:hAnsiTheme="minorHAnsi" w:cstheme="minorHAnsi"/>
          <w:sz w:val="24"/>
          <w:szCs w:val="24"/>
        </w:rPr>
        <w:t>to your ethics application</w:t>
      </w:r>
      <w:r w:rsidR="00257BF5">
        <w:rPr>
          <w:rFonts w:asciiTheme="minorHAnsi" w:hAnsiTheme="minorHAnsi" w:cstheme="minorHAnsi"/>
          <w:sz w:val="24"/>
          <w:szCs w:val="24"/>
        </w:rPr>
        <w:t>.</w:t>
      </w:r>
    </w:p>
    <w:p w14:paraId="6901CF4B" w14:textId="77777777" w:rsidR="006F5045" w:rsidRDefault="006F5045" w:rsidP="001318E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CA3FD1A" w14:textId="4C2E7038" w:rsidR="00D72439" w:rsidRPr="00FC6B8B" w:rsidRDefault="001A433A" w:rsidP="001A433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C6B8B">
        <w:rPr>
          <w:rFonts w:asciiTheme="minorHAnsi" w:hAnsiTheme="minorHAnsi" w:cstheme="minorHAnsi"/>
          <w:sz w:val="28"/>
          <w:szCs w:val="28"/>
        </w:rPr>
        <w:t>*</w:t>
      </w:r>
      <w:r w:rsidR="00D72439" w:rsidRPr="00FC6B8B">
        <w:rPr>
          <w:rFonts w:asciiTheme="minorHAnsi" w:hAnsiTheme="minorHAnsi" w:cstheme="minorHAnsi"/>
          <w:sz w:val="28"/>
          <w:szCs w:val="28"/>
        </w:rPr>
        <w:t>References in the TCPS 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4252"/>
        <w:gridCol w:w="4536"/>
      </w:tblGrid>
      <w:tr w:rsidR="00D72439" w:rsidRPr="000D67B7" w14:paraId="3ADAA305" w14:textId="77777777" w:rsidTr="00FC6B8B">
        <w:tc>
          <w:tcPr>
            <w:tcW w:w="988" w:type="dxa"/>
          </w:tcPr>
          <w:p w14:paraId="1B4768F1" w14:textId="77777777" w:rsidR="00D72439" w:rsidRPr="000D67B7" w:rsidRDefault="00D72439" w:rsidP="0047585E">
            <w:pPr>
              <w:spacing w:after="0" w:line="240" w:lineRule="auto"/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2935EE" w14:textId="6998E2AA" w:rsidR="00D72439" w:rsidRPr="000D67B7" w:rsidRDefault="00A7534A" w:rsidP="0047585E">
            <w:pPr>
              <w:spacing w:after="0" w:line="240" w:lineRule="auto"/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</w:pPr>
            <w:r w:rsidRPr="00A7534A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>Interagency Advisory Panel on Research Ethics</w:t>
            </w:r>
            <w:r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 xml:space="preserve"> (PRE) </w:t>
            </w:r>
            <w:r w:rsidR="00D72439" w:rsidRPr="000D67B7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>website</w:t>
            </w:r>
          </w:p>
        </w:tc>
        <w:tc>
          <w:tcPr>
            <w:tcW w:w="4536" w:type="dxa"/>
          </w:tcPr>
          <w:p w14:paraId="3606B857" w14:textId="7B13D4D6" w:rsidR="00D72439" w:rsidRPr="000D67B7" w:rsidRDefault="00257BF5" w:rsidP="0047585E">
            <w:pPr>
              <w:spacing w:after="0" w:line="240" w:lineRule="auto"/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</w:pPr>
            <w:r w:rsidRPr="000D67B7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>P</w:t>
            </w:r>
            <w:r w:rsidR="00D72439" w:rsidRPr="000D67B7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>rint version</w:t>
            </w:r>
            <w:r w:rsidR="001A6584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 xml:space="preserve"> (PDF) </w:t>
            </w:r>
            <w:hyperlink r:id="rId7" w:history="1">
              <w:r w:rsidR="001A6584" w:rsidRPr="0017626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https://ethics.gc.ca/eng/documents/tcps2-2022-en.pdf</w:t>
              </w:r>
            </w:hyperlink>
            <w:r w:rsidR="001A6584">
              <w:rPr>
                <w:rFonts w:asciiTheme="minorHAnsi" w:hAnsiTheme="minorHAnsi"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1A433A" w:rsidRPr="000D67B7" w14:paraId="24B16928" w14:textId="77777777" w:rsidTr="00FC6B8B">
        <w:tc>
          <w:tcPr>
            <w:tcW w:w="988" w:type="dxa"/>
          </w:tcPr>
          <w:p w14:paraId="779F7C94" w14:textId="0311746A" w:rsidR="00D72439" w:rsidRPr="000D67B7" w:rsidRDefault="00D72439" w:rsidP="004758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67B7">
              <w:rPr>
                <w:rFonts w:asciiTheme="minorHAnsi" w:hAnsiTheme="minorHAnsi" w:cstheme="minorHAnsi"/>
                <w:sz w:val="24"/>
                <w:szCs w:val="24"/>
              </w:rPr>
              <w:t>Article 3.7A</w:t>
            </w:r>
          </w:p>
        </w:tc>
        <w:tc>
          <w:tcPr>
            <w:tcW w:w="4252" w:type="dxa"/>
          </w:tcPr>
          <w:p w14:paraId="192A78FD" w14:textId="5CDE268F" w:rsidR="00D72439" w:rsidRPr="000D67B7" w:rsidRDefault="006F69BC" w:rsidP="004758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anchor="7a" w:history="1">
              <w:r w:rsidR="009B6E56" w:rsidRPr="008F496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https://pre.ethics.gc.ca/eng/tcps2-eptc2_2022_chapter3-chapitre3.html#7a</w:t>
              </w:r>
            </w:hyperlink>
            <w:r w:rsidR="009B6E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703517" w14:textId="5657F1A9" w:rsidR="00D72439" w:rsidRPr="000D67B7" w:rsidRDefault="001A433A" w:rsidP="004758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67B7">
              <w:rPr>
                <w:rFonts w:asciiTheme="minorHAnsi" w:hAnsiTheme="minorHAnsi" w:cstheme="minorHAnsi"/>
                <w:i/>
                <w:sz w:val="24"/>
                <w:szCs w:val="24"/>
              </w:rPr>
              <w:t>Alterations to Consent Requirements</w:t>
            </w:r>
            <w:r w:rsidRPr="000D67B7">
              <w:rPr>
                <w:rFonts w:asciiTheme="minorHAnsi" w:hAnsiTheme="minorHAnsi" w:cstheme="minorHAnsi"/>
                <w:sz w:val="24"/>
                <w:szCs w:val="24"/>
              </w:rPr>
              <w:t xml:space="preserve"> | s</w:t>
            </w:r>
            <w:r w:rsidR="00D72439" w:rsidRPr="000D67B7">
              <w:rPr>
                <w:rFonts w:asciiTheme="minorHAnsi" w:hAnsiTheme="minorHAnsi" w:cstheme="minorHAnsi"/>
                <w:sz w:val="24"/>
                <w:szCs w:val="24"/>
              </w:rPr>
              <w:t xml:space="preserve">ee page </w:t>
            </w:r>
            <w:r w:rsidR="00FC1880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</w:tr>
      <w:tr w:rsidR="001A433A" w:rsidRPr="000D67B7" w14:paraId="399F56E2" w14:textId="77777777" w:rsidTr="00FC6B8B">
        <w:tc>
          <w:tcPr>
            <w:tcW w:w="988" w:type="dxa"/>
          </w:tcPr>
          <w:p w14:paraId="5F828438" w14:textId="36F06940" w:rsidR="00D72439" w:rsidRPr="000D67B7" w:rsidRDefault="00D72439" w:rsidP="0047585E">
            <w:pPr>
              <w:spacing w:after="0" w:line="240" w:lineRule="auto"/>
              <w:rPr>
                <w:sz w:val="24"/>
                <w:szCs w:val="24"/>
              </w:rPr>
            </w:pPr>
            <w:r w:rsidRPr="000D67B7">
              <w:rPr>
                <w:sz w:val="24"/>
                <w:szCs w:val="24"/>
              </w:rPr>
              <w:t>Article 3.7B</w:t>
            </w:r>
          </w:p>
        </w:tc>
        <w:tc>
          <w:tcPr>
            <w:tcW w:w="4252" w:type="dxa"/>
          </w:tcPr>
          <w:p w14:paraId="5B44AE4B" w14:textId="599851F4" w:rsidR="00D72439" w:rsidRPr="000D67B7" w:rsidRDefault="006F69BC" w:rsidP="004758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anchor="7b" w:history="1">
              <w:r w:rsidR="001F61A8" w:rsidRPr="008F496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https://pre.ethics.gc.ca/eng/tcps2-eptc2_2022_chapter3-chapitre3.html#7b</w:t>
              </w:r>
            </w:hyperlink>
            <w:r w:rsidR="001F61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3E352D7" w14:textId="13D008B5" w:rsidR="001A433A" w:rsidRPr="000D67B7" w:rsidRDefault="001A433A" w:rsidP="00257BF5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0D67B7">
              <w:rPr>
                <w:i/>
                <w:sz w:val="24"/>
                <w:szCs w:val="24"/>
              </w:rPr>
              <w:t>Debriefing in the Context of Alterations to Consent Requirements</w:t>
            </w:r>
            <w:r w:rsidRPr="000D67B7">
              <w:rPr>
                <w:iCs/>
                <w:sz w:val="24"/>
                <w:szCs w:val="24"/>
              </w:rPr>
              <w:t xml:space="preserve"> | see page </w:t>
            </w:r>
            <w:r w:rsidR="00513EC5">
              <w:rPr>
                <w:iCs/>
                <w:sz w:val="24"/>
                <w:szCs w:val="24"/>
              </w:rPr>
              <w:t>5</w:t>
            </w:r>
            <w:r w:rsidRPr="000D67B7">
              <w:rPr>
                <w:iCs/>
                <w:sz w:val="24"/>
                <w:szCs w:val="24"/>
              </w:rPr>
              <w:t>0</w:t>
            </w:r>
          </w:p>
          <w:p w14:paraId="74DF67D5" w14:textId="216B6DDD" w:rsidR="00D72439" w:rsidRPr="000D67B7" w:rsidRDefault="00257BF5" w:rsidP="00257B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67B7">
              <w:rPr>
                <w:i/>
                <w:iCs/>
                <w:sz w:val="24"/>
                <w:szCs w:val="24"/>
              </w:rPr>
              <w:t>Exceptions to the requirement to debrief</w:t>
            </w:r>
            <w:r w:rsidRPr="000D67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433A" w:rsidRPr="000D67B7">
              <w:rPr>
                <w:rFonts w:asciiTheme="minorHAnsi" w:hAnsiTheme="minorHAnsi" w:cstheme="minorHAnsi"/>
                <w:sz w:val="24"/>
                <w:szCs w:val="24"/>
              </w:rPr>
              <w:t>| s</w:t>
            </w:r>
            <w:r w:rsidR="00D72439" w:rsidRPr="000D67B7">
              <w:rPr>
                <w:rFonts w:asciiTheme="minorHAnsi" w:hAnsiTheme="minorHAnsi" w:cstheme="minorHAnsi"/>
                <w:sz w:val="24"/>
                <w:szCs w:val="24"/>
              </w:rPr>
              <w:t xml:space="preserve">ee page </w:t>
            </w:r>
            <w:r w:rsidR="00E54A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72439" w:rsidRPr="000D67B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2FBD3285" w14:textId="1984113E" w:rsidR="00D72439" w:rsidRDefault="00D72439" w:rsidP="00FC6B8B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59B448A9" w14:textId="77777777" w:rsidR="005057FF" w:rsidRPr="00B40CE8" w:rsidRDefault="00434D53" w:rsidP="001318E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0"/>
        </w:rPr>
      </w:pPr>
      <w:r w:rsidRPr="00B40CE8">
        <w:rPr>
          <w:rFonts w:cs="Calibri"/>
          <w:sz w:val="24"/>
          <w:szCs w:val="20"/>
        </w:rPr>
        <w:lastRenderedPageBreak/>
        <w:t>Use as much space as needed.</w:t>
      </w:r>
    </w:p>
    <w:p w14:paraId="74547261" w14:textId="77777777" w:rsidR="00B40CE8" w:rsidRDefault="00B40CE8" w:rsidP="00131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57FF" w:rsidRPr="003672B1" w14:paraId="6DA6B51C" w14:textId="77777777" w:rsidTr="00283F10">
        <w:tc>
          <w:tcPr>
            <w:tcW w:w="9350" w:type="dxa"/>
            <w:shd w:val="clear" w:color="auto" w:fill="auto"/>
          </w:tcPr>
          <w:p w14:paraId="66B4DE29" w14:textId="77777777" w:rsidR="0099295D" w:rsidRDefault="005057FF" w:rsidP="009B700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left="306" w:hanging="357"/>
              <w:contextualSpacing w:val="0"/>
              <w:rPr>
                <w:rFonts w:cs="Calibri"/>
                <w:sz w:val="24"/>
                <w:szCs w:val="24"/>
              </w:rPr>
            </w:pPr>
            <w:r w:rsidRPr="0099295D">
              <w:rPr>
                <w:rFonts w:cs="Calibri"/>
                <w:sz w:val="24"/>
                <w:szCs w:val="24"/>
              </w:rPr>
              <w:t xml:space="preserve">Deception undermines informed consent. </w:t>
            </w:r>
            <w:r w:rsidR="0099295D">
              <w:rPr>
                <w:rFonts w:cs="Calibri"/>
                <w:sz w:val="24"/>
                <w:szCs w:val="24"/>
              </w:rPr>
              <w:t>Describe:</w:t>
            </w:r>
            <w:r w:rsidRPr="0099295D">
              <w:rPr>
                <w:rFonts w:cs="Calibri"/>
                <w:sz w:val="24"/>
                <w:szCs w:val="24"/>
              </w:rPr>
              <w:t xml:space="preserve"> </w:t>
            </w:r>
          </w:p>
          <w:p w14:paraId="43BBAC87" w14:textId="77777777" w:rsidR="0099295D" w:rsidRPr="00F34F5F" w:rsidRDefault="005057FF" w:rsidP="00F34F5F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left="873" w:hanging="357"/>
              <w:contextualSpacing w:val="0"/>
              <w:rPr>
                <w:rFonts w:cs="Calibri"/>
                <w:sz w:val="24"/>
                <w:szCs w:val="24"/>
              </w:rPr>
            </w:pPr>
            <w:r w:rsidRPr="0099295D">
              <w:rPr>
                <w:rFonts w:cs="Calibri"/>
                <w:sz w:val="24"/>
                <w:szCs w:val="24"/>
              </w:rPr>
              <w:t>why you believe deception is necessary to achieve your research objectives</w:t>
            </w:r>
            <w:r w:rsidR="00F34F5F">
              <w:rPr>
                <w:rFonts w:cs="Calibri"/>
                <w:sz w:val="24"/>
                <w:szCs w:val="24"/>
              </w:rPr>
              <w:t xml:space="preserve"> (i.e. that the research cannot be done in any other way)</w:t>
            </w:r>
          </w:p>
          <w:p w14:paraId="11D68486" w14:textId="77777777" w:rsidR="005057FF" w:rsidRPr="009B7008" w:rsidRDefault="005057FF" w:rsidP="007F7B3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left="873" w:hanging="357"/>
              <w:contextualSpacing w:val="0"/>
              <w:rPr>
                <w:rFonts w:cs="Calibri"/>
                <w:sz w:val="24"/>
                <w:szCs w:val="24"/>
              </w:rPr>
            </w:pPr>
            <w:r w:rsidRPr="0099295D">
              <w:rPr>
                <w:rFonts w:cs="Calibri"/>
                <w:sz w:val="24"/>
                <w:szCs w:val="24"/>
              </w:rPr>
              <w:t>why you believe that the benefits of the research outweigh the cost</w:t>
            </w:r>
            <w:r w:rsidR="0099295D">
              <w:rPr>
                <w:rFonts w:cs="Calibri"/>
                <w:sz w:val="24"/>
                <w:szCs w:val="24"/>
              </w:rPr>
              <w:t>s</w:t>
            </w:r>
            <w:r w:rsidRPr="0099295D">
              <w:rPr>
                <w:rFonts w:cs="Calibri"/>
                <w:sz w:val="24"/>
                <w:szCs w:val="24"/>
              </w:rPr>
              <w:t xml:space="preserve"> to </w:t>
            </w:r>
            <w:r w:rsidR="00AC5970" w:rsidRPr="0099295D">
              <w:rPr>
                <w:rFonts w:cs="Calibri"/>
                <w:sz w:val="24"/>
                <w:szCs w:val="24"/>
              </w:rPr>
              <w:t>participants</w:t>
            </w:r>
            <w:r w:rsidRPr="0099295D">
              <w:rPr>
                <w:rFonts w:cs="Calibri"/>
                <w:sz w:val="24"/>
                <w:szCs w:val="24"/>
              </w:rPr>
              <w:t>.</w:t>
            </w:r>
          </w:p>
        </w:tc>
      </w:tr>
      <w:tr w:rsidR="002B2610" w:rsidRPr="003672B1" w14:paraId="32A4EE8F" w14:textId="77777777" w:rsidTr="00473F0C">
        <w:tc>
          <w:tcPr>
            <w:tcW w:w="9350" w:type="dxa"/>
            <w:shd w:val="clear" w:color="auto" w:fill="D9E2F3" w:themeFill="accent5" w:themeFillTint="33"/>
          </w:tcPr>
          <w:p w14:paraId="2F7EE85C" w14:textId="77777777" w:rsidR="002B2610" w:rsidRPr="00951A12" w:rsidRDefault="009B7008" w:rsidP="00473F0C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[insert answer]</w:t>
            </w:r>
          </w:p>
        </w:tc>
      </w:tr>
      <w:tr w:rsidR="005057FF" w:rsidRPr="003672B1" w14:paraId="2518EEAC" w14:textId="77777777" w:rsidTr="00283F10">
        <w:tc>
          <w:tcPr>
            <w:tcW w:w="9350" w:type="dxa"/>
            <w:shd w:val="clear" w:color="auto" w:fill="auto"/>
          </w:tcPr>
          <w:p w14:paraId="7C60B551" w14:textId="77777777" w:rsidR="005057FF" w:rsidRPr="009B7008" w:rsidRDefault="0016746C" w:rsidP="009B700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ind w:left="300" w:hanging="357"/>
              <w:contextualSpacing w:val="0"/>
              <w:rPr>
                <w:rFonts w:cs="Calibri"/>
                <w:sz w:val="24"/>
                <w:szCs w:val="24"/>
              </w:rPr>
            </w:pPr>
            <w:r w:rsidRPr="0099295D">
              <w:rPr>
                <w:rFonts w:cs="Calibri"/>
                <w:sz w:val="24"/>
                <w:szCs w:val="24"/>
              </w:rPr>
              <w:t>Outline the anticipated impacts of your</w:t>
            </w:r>
            <w:r w:rsidR="0099295D">
              <w:rPr>
                <w:rFonts w:cs="Calibri"/>
                <w:sz w:val="24"/>
                <w:szCs w:val="24"/>
              </w:rPr>
              <w:t xml:space="preserve"> use of</w:t>
            </w:r>
            <w:r w:rsidRPr="0099295D">
              <w:rPr>
                <w:rFonts w:cs="Calibri"/>
                <w:sz w:val="24"/>
                <w:szCs w:val="24"/>
              </w:rPr>
              <w:t xml:space="preserve"> deception on the participants</w:t>
            </w:r>
            <w:r w:rsidR="0099295D">
              <w:rPr>
                <w:rFonts w:cs="Calibri"/>
                <w:sz w:val="24"/>
                <w:szCs w:val="24"/>
              </w:rPr>
              <w:t>,</w:t>
            </w:r>
            <w:r w:rsidRPr="0099295D">
              <w:rPr>
                <w:rFonts w:cs="Calibri"/>
                <w:sz w:val="24"/>
                <w:szCs w:val="24"/>
              </w:rPr>
              <w:t xml:space="preserve"> once they have learned of it.</w:t>
            </w:r>
          </w:p>
        </w:tc>
      </w:tr>
      <w:tr w:rsidR="00951A12" w:rsidRPr="003672B1" w14:paraId="49283981" w14:textId="77777777" w:rsidTr="002B2610">
        <w:tc>
          <w:tcPr>
            <w:tcW w:w="9350" w:type="dxa"/>
            <w:shd w:val="clear" w:color="auto" w:fill="D9E2F3" w:themeFill="accent5" w:themeFillTint="33"/>
          </w:tcPr>
          <w:p w14:paraId="4888F4E8" w14:textId="77777777" w:rsidR="00951A12" w:rsidRPr="00951A12" w:rsidRDefault="009B7008" w:rsidP="002B2610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[insert answer]</w:t>
            </w:r>
          </w:p>
        </w:tc>
      </w:tr>
      <w:tr w:rsidR="005057FF" w:rsidRPr="003672B1" w14:paraId="65C0C8C9" w14:textId="77777777" w:rsidTr="00283F10">
        <w:tc>
          <w:tcPr>
            <w:tcW w:w="9350" w:type="dxa"/>
            <w:shd w:val="clear" w:color="auto" w:fill="auto"/>
          </w:tcPr>
          <w:p w14:paraId="2732DFCF" w14:textId="77777777" w:rsidR="005057FF" w:rsidRPr="009B7008" w:rsidRDefault="005057FF" w:rsidP="009B7008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00" w:hanging="357"/>
              <w:contextualSpacing w:val="0"/>
              <w:rPr>
                <w:rFonts w:cs="Calibri"/>
                <w:sz w:val="24"/>
                <w:szCs w:val="24"/>
              </w:rPr>
            </w:pPr>
            <w:r w:rsidRPr="0099295D">
              <w:rPr>
                <w:rFonts w:cs="Calibri"/>
                <w:sz w:val="24"/>
                <w:szCs w:val="24"/>
              </w:rPr>
              <w:t xml:space="preserve">Describe how you will debrief </w:t>
            </w:r>
            <w:r w:rsidR="008E5598" w:rsidRPr="0099295D">
              <w:rPr>
                <w:rFonts w:cs="Calibri"/>
                <w:sz w:val="24"/>
                <w:szCs w:val="24"/>
              </w:rPr>
              <w:t xml:space="preserve">participants </w:t>
            </w:r>
            <w:r w:rsidRPr="0099295D">
              <w:rPr>
                <w:rFonts w:cs="Calibri"/>
                <w:sz w:val="24"/>
                <w:szCs w:val="24"/>
              </w:rPr>
              <w:t>at the end of the study</w:t>
            </w:r>
            <w:r w:rsidR="0099295D" w:rsidRPr="0099295D">
              <w:rPr>
                <w:sz w:val="24"/>
                <w:szCs w:val="24"/>
              </w:rPr>
              <w:t>. Confirm that participants will be asked whether they want to withdraw their data.</w:t>
            </w:r>
          </w:p>
        </w:tc>
      </w:tr>
      <w:tr w:rsidR="009B7008" w:rsidRPr="003672B1" w14:paraId="4DEC0392" w14:textId="77777777" w:rsidTr="00473F0C">
        <w:tc>
          <w:tcPr>
            <w:tcW w:w="9350" w:type="dxa"/>
            <w:shd w:val="clear" w:color="auto" w:fill="D9E2F3" w:themeFill="accent5" w:themeFillTint="33"/>
          </w:tcPr>
          <w:p w14:paraId="2FE3B6E4" w14:textId="77777777" w:rsidR="009B7008" w:rsidRPr="00951A12" w:rsidRDefault="009B7008" w:rsidP="00473F0C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[insert answer]</w:t>
            </w:r>
          </w:p>
        </w:tc>
      </w:tr>
      <w:tr w:rsidR="0099295D" w:rsidRPr="003672B1" w14:paraId="343806EA" w14:textId="77777777" w:rsidTr="00283F10">
        <w:tc>
          <w:tcPr>
            <w:tcW w:w="9350" w:type="dxa"/>
            <w:shd w:val="clear" w:color="auto" w:fill="auto"/>
          </w:tcPr>
          <w:p w14:paraId="7251E176" w14:textId="77777777" w:rsidR="009B7008" w:rsidRPr="009B7008" w:rsidRDefault="0099295D" w:rsidP="00951A1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06"/>
            </w:pPr>
            <w:r w:rsidRPr="0099295D">
              <w:rPr>
                <w:sz w:val="24"/>
              </w:rPr>
              <w:t xml:space="preserve">In very limited circumstances, when the debriefing is not possible, practicable or appropriate, it may be acceptable to waive the debriefing requirement. </w:t>
            </w:r>
            <w:r w:rsidR="00336A6E" w:rsidRPr="0099295D">
              <w:rPr>
                <w:sz w:val="24"/>
              </w:rPr>
              <w:t xml:space="preserve">A very strong argument is required before the BREB will </w:t>
            </w:r>
            <w:r w:rsidR="00336A6E">
              <w:rPr>
                <w:sz w:val="24"/>
              </w:rPr>
              <w:t>approve the use of</w:t>
            </w:r>
            <w:r w:rsidR="00336A6E" w:rsidRPr="0099295D">
              <w:rPr>
                <w:sz w:val="24"/>
              </w:rPr>
              <w:t xml:space="preserve"> deception </w:t>
            </w:r>
            <w:r w:rsidR="00336A6E">
              <w:rPr>
                <w:sz w:val="24"/>
              </w:rPr>
              <w:t>without</w:t>
            </w:r>
            <w:r w:rsidR="00336A6E" w:rsidRPr="0099295D">
              <w:rPr>
                <w:sz w:val="24"/>
              </w:rPr>
              <w:t xml:space="preserve"> a debrief</w:t>
            </w:r>
            <w:r w:rsidR="00336A6E">
              <w:rPr>
                <w:sz w:val="24"/>
              </w:rPr>
              <w:t>ing</w:t>
            </w:r>
            <w:r w:rsidR="00336A6E" w:rsidRPr="0099295D">
              <w:rPr>
                <w:sz w:val="24"/>
              </w:rPr>
              <w:t xml:space="preserve">. If you are proposing to not debrief participants, please </w:t>
            </w:r>
            <w:r w:rsidR="00336A6E">
              <w:rPr>
                <w:sz w:val="24"/>
              </w:rPr>
              <w:t xml:space="preserve">provide your </w:t>
            </w:r>
            <w:r w:rsidR="00336A6E" w:rsidRPr="0099295D">
              <w:rPr>
                <w:sz w:val="24"/>
              </w:rPr>
              <w:t>justif</w:t>
            </w:r>
            <w:r w:rsidR="00336A6E">
              <w:rPr>
                <w:sz w:val="24"/>
              </w:rPr>
              <w:t>ication</w:t>
            </w:r>
            <w:r w:rsidR="009B7008">
              <w:rPr>
                <w:sz w:val="24"/>
              </w:rPr>
              <w:t>, and include:</w:t>
            </w:r>
          </w:p>
          <w:p w14:paraId="4A435B83" w14:textId="77777777" w:rsidR="009B7008" w:rsidRPr="009B7008" w:rsidRDefault="009B7008" w:rsidP="007F7B32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left="873"/>
            </w:pPr>
            <w:r>
              <w:rPr>
                <w:sz w:val="24"/>
              </w:rPr>
              <w:t>H</w:t>
            </w:r>
            <w:r w:rsidR="00336A6E" w:rsidRPr="0099295D">
              <w:rPr>
                <w:sz w:val="24"/>
              </w:rPr>
              <w:t xml:space="preserve">ow the participant population will </w:t>
            </w:r>
            <w:r w:rsidR="00951A12">
              <w:rPr>
                <w:sz w:val="24"/>
              </w:rPr>
              <w:t>learn</w:t>
            </w:r>
            <w:r w:rsidR="00336A6E" w:rsidRPr="0099295D">
              <w:rPr>
                <w:sz w:val="24"/>
              </w:rPr>
              <w:t xml:space="preserve"> about the study</w:t>
            </w:r>
          </w:p>
          <w:p w14:paraId="151A7CF2" w14:textId="77777777" w:rsidR="0099295D" w:rsidRPr="0099295D" w:rsidDel="0099295D" w:rsidRDefault="009B7008" w:rsidP="007F7B32">
            <w:pPr>
              <w:pStyle w:val="ListParagraph"/>
              <w:numPr>
                <w:ilvl w:val="1"/>
                <w:numId w:val="7"/>
              </w:numPr>
              <w:spacing w:after="160" w:line="259" w:lineRule="auto"/>
              <w:ind w:left="873"/>
            </w:pPr>
            <w:r>
              <w:rPr>
                <w:sz w:val="24"/>
              </w:rPr>
              <w:t>W</w:t>
            </w:r>
            <w:r w:rsidR="00336A6E">
              <w:rPr>
                <w:sz w:val="24"/>
              </w:rPr>
              <w:t>hether</w:t>
            </w:r>
            <w:r w:rsidR="00951A12">
              <w:rPr>
                <w:sz w:val="24"/>
              </w:rPr>
              <w:t xml:space="preserve"> any</w:t>
            </w:r>
            <w:r w:rsidR="00336A6E" w:rsidRPr="0099295D">
              <w:rPr>
                <w:sz w:val="24"/>
              </w:rPr>
              <w:t xml:space="preserve"> representatives </w:t>
            </w:r>
            <w:r w:rsidR="00951A12">
              <w:rPr>
                <w:sz w:val="24"/>
              </w:rPr>
              <w:t>of the study population w</w:t>
            </w:r>
            <w:r w:rsidR="00336A6E" w:rsidRPr="0099295D">
              <w:rPr>
                <w:sz w:val="24"/>
              </w:rPr>
              <w:t xml:space="preserve">ere consulted </w:t>
            </w:r>
            <w:r w:rsidR="00951A12">
              <w:rPr>
                <w:sz w:val="24"/>
              </w:rPr>
              <w:t>about</w:t>
            </w:r>
            <w:r w:rsidR="00336A6E" w:rsidRPr="0099295D">
              <w:rPr>
                <w:sz w:val="24"/>
              </w:rPr>
              <w:t xml:space="preserve"> the study design and questions.</w:t>
            </w:r>
          </w:p>
        </w:tc>
      </w:tr>
      <w:tr w:rsidR="009B7008" w:rsidRPr="003672B1" w14:paraId="6AD97B40" w14:textId="77777777" w:rsidTr="00473F0C">
        <w:tc>
          <w:tcPr>
            <w:tcW w:w="9350" w:type="dxa"/>
            <w:shd w:val="clear" w:color="auto" w:fill="D9E2F3" w:themeFill="accent5" w:themeFillTint="33"/>
          </w:tcPr>
          <w:p w14:paraId="646DFEEB" w14:textId="77777777" w:rsidR="009B7008" w:rsidRPr="00951A12" w:rsidRDefault="009B7008" w:rsidP="00473F0C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7008">
              <w:rPr>
                <w:rFonts w:cs="Calibri"/>
                <w:sz w:val="24"/>
                <w:szCs w:val="24"/>
              </w:rPr>
              <w:t>[insert answer]</w:t>
            </w:r>
          </w:p>
        </w:tc>
      </w:tr>
    </w:tbl>
    <w:p w14:paraId="345A2616" w14:textId="77777777" w:rsidR="003770D1" w:rsidRDefault="003770D1" w:rsidP="00131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3770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459" w14:textId="77777777" w:rsidR="00FD7943" w:rsidRDefault="00FD7943" w:rsidP="00AC7629">
      <w:pPr>
        <w:spacing w:after="0" w:line="240" w:lineRule="auto"/>
      </w:pPr>
      <w:r>
        <w:separator/>
      </w:r>
    </w:p>
  </w:endnote>
  <w:endnote w:type="continuationSeparator" w:id="0">
    <w:p w14:paraId="75CC9F22" w14:textId="77777777" w:rsidR="00FD7943" w:rsidRDefault="00FD7943" w:rsidP="00AC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6BC6" w14:textId="631E1EBC" w:rsidR="008F0836" w:rsidRDefault="008F0836">
    <w:pPr>
      <w:pStyle w:val="Footer"/>
    </w:pPr>
    <w:r>
      <w:t xml:space="preserve">Deception form | </w:t>
    </w:r>
    <w:r w:rsidR="009B7008" w:rsidRPr="009B7008">
      <w:rPr>
        <w:color w:val="2F5496" w:themeColor="accent5" w:themeShade="BF"/>
      </w:rPr>
      <w:t>[insert version date before uploading]</w:t>
    </w:r>
    <w:r w:rsidR="00FC6B8B">
      <w:rPr>
        <w:color w:val="2F5496" w:themeColor="accent5" w:themeShade="BF"/>
      </w:rPr>
      <w:t xml:space="preserve"> | </w:t>
    </w:r>
    <w:r w:rsidR="00FC6B8B" w:rsidRPr="00FC6B8B">
      <w:fldChar w:fldCharType="begin"/>
    </w:r>
    <w:r w:rsidR="00FC6B8B" w:rsidRPr="00FC6B8B">
      <w:instrText xml:space="preserve"> PAGE   \* MERGEFORMAT </w:instrText>
    </w:r>
    <w:r w:rsidR="00FC6B8B" w:rsidRPr="00FC6B8B">
      <w:fldChar w:fldCharType="separate"/>
    </w:r>
    <w:r w:rsidR="00FC6B8B" w:rsidRPr="00FC6B8B">
      <w:rPr>
        <w:noProof/>
      </w:rPr>
      <w:t>1</w:t>
    </w:r>
    <w:r w:rsidR="00FC6B8B" w:rsidRPr="00FC6B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508" w14:textId="77777777" w:rsidR="00FD7943" w:rsidRDefault="00FD7943" w:rsidP="00AC7629">
      <w:pPr>
        <w:spacing w:after="0" w:line="240" w:lineRule="auto"/>
      </w:pPr>
      <w:r>
        <w:separator/>
      </w:r>
    </w:p>
  </w:footnote>
  <w:footnote w:type="continuationSeparator" w:id="0">
    <w:p w14:paraId="624A53C7" w14:textId="77777777" w:rsidR="00FD7943" w:rsidRDefault="00FD7943" w:rsidP="00AC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4"/>
      <w:gridCol w:w="4586"/>
    </w:tblGrid>
    <w:tr w:rsidR="001318E8" w:rsidRPr="001318E8" w14:paraId="3F9018C9" w14:textId="77777777" w:rsidTr="001318E8">
      <w:tc>
        <w:tcPr>
          <w:tcW w:w="4788" w:type="dxa"/>
        </w:tcPr>
        <w:p w14:paraId="2809B5DB" w14:textId="77777777" w:rsidR="001318E8" w:rsidRPr="001318E8" w:rsidRDefault="00F22540" w:rsidP="001318E8">
          <w:pPr>
            <w:spacing w:after="0" w:line="240" w:lineRule="auto"/>
            <w:outlineLvl w:val="0"/>
          </w:pPr>
          <w:r>
            <w:rPr>
              <w:noProof/>
            </w:rPr>
            <w:drawing>
              <wp:inline distT="0" distB="0" distL="0" distR="0" wp14:anchorId="54B87E5A" wp14:editId="44D42B99">
                <wp:extent cx="2819400" cy="581025"/>
                <wp:effectExtent l="0" t="0" r="0" b="0"/>
                <wp:docPr id="1" name="Picture 1" descr="ubc-logo-2018-fullsig-blue-rgb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bc-logo-2018-fullsig-blue-rgb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17926881" w14:textId="77777777" w:rsidR="001318E8" w:rsidRDefault="001318E8" w:rsidP="0010054B">
          <w:pPr>
            <w:spacing w:after="0" w:line="240" w:lineRule="auto"/>
            <w:jc w:val="right"/>
          </w:pPr>
          <w:r w:rsidRPr="001318E8">
            <w:t xml:space="preserve">Office of Research Ethics </w:t>
          </w:r>
        </w:p>
        <w:p w14:paraId="66BFDD73" w14:textId="77777777" w:rsidR="001318E8" w:rsidRDefault="001318E8" w:rsidP="0010054B">
          <w:pPr>
            <w:spacing w:after="0" w:line="240" w:lineRule="auto"/>
            <w:jc w:val="right"/>
          </w:pPr>
          <w:r w:rsidRPr="001318E8">
            <w:t>#102, TEFIII, 6190 Agronomy Road</w:t>
          </w:r>
        </w:p>
        <w:p w14:paraId="699F74A5" w14:textId="77777777" w:rsidR="001318E8" w:rsidRDefault="001318E8" w:rsidP="0010054B">
          <w:pPr>
            <w:spacing w:after="0" w:line="240" w:lineRule="auto"/>
            <w:jc w:val="right"/>
          </w:pPr>
          <w:r w:rsidRPr="001318E8">
            <w:t>Vancouver, BC V6T 1Z3</w:t>
          </w:r>
        </w:p>
        <w:p w14:paraId="254ABF0D" w14:textId="1079E36A" w:rsidR="001318E8" w:rsidRPr="001318E8" w:rsidRDefault="006F69BC" w:rsidP="0010054B">
          <w:pPr>
            <w:spacing w:after="0" w:line="240" w:lineRule="auto"/>
            <w:jc w:val="right"/>
          </w:pPr>
          <w:hyperlink r:id="rId2" w:history="1">
            <w:r w:rsidR="005B36B1">
              <w:rPr>
                <w:rStyle w:val="Hyperlink"/>
              </w:rPr>
              <w:t>https://researchethics.ubc.ca/</w:t>
            </w:r>
          </w:hyperlink>
        </w:p>
      </w:tc>
    </w:tr>
  </w:tbl>
  <w:p w14:paraId="1613A04D" w14:textId="77777777" w:rsidR="00AC7629" w:rsidRDefault="00AC7629" w:rsidP="00306A19">
    <w:pPr>
      <w:pStyle w:val="Header"/>
      <w:tabs>
        <w:tab w:val="clear" w:pos="4680"/>
        <w:tab w:val="center" w:pos="702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5F2"/>
    <w:multiLevelType w:val="hybridMultilevel"/>
    <w:tmpl w:val="FFBC8D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606"/>
    <w:multiLevelType w:val="hybridMultilevel"/>
    <w:tmpl w:val="BEF8B2DC"/>
    <w:lvl w:ilvl="0" w:tplc="580AEE1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988"/>
    <w:multiLevelType w:val="hybridMultilevel"/>
    <w:tmpl w:val="CEBCAE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5A2D"/>
    <w:multiLevelType w:val="hybridMultilevel"/>
    <w:tmpl w:val="817034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DEC"/>
    <w:multiLevelType w:val="hybridMultilevel"/>
    <w:tmpl w:val="54A0F0D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71B2"/>
    <w:multiLevelType w:val="hybridMultilevel"/>
    <w:tmpl w:val="C06A4C8A"/>
    <w:lvl w:ilvl="0" w:tplc="AB88E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70FF3"/>
    <w:multiLevelType w:val="hybridMultilevel"/>
    <w:tmpl w:val="1D6C29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43C"/>
    <w:multiLevelType w:val="hybridMultilevel"/>
    <w:tmpl w:val="C74891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A14"/>
    <w:multiLevelType w:val="hybridMultilevel"/>
    <w:tmpl w:val="6286437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E52EA"/>
    <w:multiLevelType w:val="hybridMultilevel"/>
    <w:tmpl w:val="666805E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95398"/>
    <w:multiLevelType w:val="multilevel"/>
    <w:tmpl w:val="64F4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FF"/>
    <w:rsid w:val="000811F0"/>
    <w:rsid w:val="000D67B7"/>
    <w:rsid w:val="001318E8"/>
    <w:rsid w:val="00134E3F"/>
    <w:rsid w:val="0016746C"/>
    <w:rsid w:val="001A433A"/>
    <w:rsid w:val="001A6584"/>
    <w:rsid w:val="001B30D1"/>
    <w:rsid w:val="001E1D56"/>
    <w:rsid w:val="001F61A8"/>
    <w:rsid w:val="00257BF5"/>
    <w:rsid w:val="00283F10"/>
    <w:rsid w:val="002B2610"/>
    <w:rsid w:val="00306A19"/>
    <w:rsid w:val="00336A6E"/>
    <w:rsid w:val="003672B1"/>
    <w:rsid w:val="003770D1"/>
    <w:rsid w:val="003870F7"/>
    <w:rsid w:val="003F34AE"/>
    <w:rsid w:val="00434D53"/>
    <w:rsid w:val="00496CF0"/>
    <w:rsid w:val="005057FF"/>
    <w:rsid w:val="00513EC5"/>
    <w:rsid w:val="0051465B"/>
    <w:rsid w:val="005406DB"/>
    <w:rsid w:val="00574E17"/>
    <w:rsid w:val="00580811"/>
    <w:rsid w:val="005B36B1"/>
    <w:rsid w:val="005B7DC7"/>
    <w:rsid w:val="00617552"/>
    <w:rsid w:val="006763B8"/>
    <w:rsid w:val="006B3F8E"/>
    <w:rsid w:val="006C71D9"/>
    <w:rsid w:val="006E40EB"/>
    <w:rsid w:val="006F5045"/>
    <w:rsid w:val="006F69BC"/>
    <w:rsid w:val="00753BE7"/>
    <w:rsid w:val="00791B97"/>
    <w:rsid w:val="007F7B32"/>
    <w:rsid w:val="008C79FD"/>
    <w:rsid w:val="008E5598"/>
    <w:rsid w:val="008F0836"/>
    <w:rsid w:val="00951A12"/>
    <w:rsid w:val="009524E3"/>
    <w:rsid w:val="00974E41"/>
    <w:rsid w:val="0099295D"/>
    <w:rsid w:val="009A5A4B"/>
    <w:rsid w:val="009B6E56"/>
    <w:rsid w:val="009B7008"/>
    <w:rsid w:val="00A41986"/>
    <w:rsid w:val="00A7534A"/>
    <w:rsid w:val="00A76369"/>
    <w:rsid w:val="00AC5970"/>
    <w:rsid w:val="00AC7629"/>
    <w:rsid w:val="00AF3C5B"/>
    <w:rsid w:val="00B15964"/>
    <w:rsid w:val="00B40CE8"/>
    <w:rsid w:val="00BC53F5"/>
    <w:rsid w:val="00C62405"/>
    <w:rsid w:val="00CD59BB"/>
    <w:rsid w:val="00CF09DB"/>
    <w:rsid w:val="00D72439"/>
    <w:rsid w:val="00DB336E"/>
    <w:rsid w:val="00E54ACE"/>
    <w:rsid w:val="00E96755"/>
    <w:rsid w:val="00F22540"/>
    <w:rsid w:val="00F34F5F"/>
    <w:rsid w:val="00F61697"/>
    <w:rsid w:val="00FC1880"/>
    <w:rsid w:val="00FC6B8B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800F6"/>
  <w15:chartTrackingRefBased/>
  <w15:docId w15:val="{916AA75E-E1C5-4A9A-9D08-10B2A12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0F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E55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559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</w:rPr>
  </w:style>
  <w:style w:type="character" w:styleId="Hyperlink">
    <w:name w:val="Hyperlink"/>
    <w:uiPriority w:val="99"/>
    <w:unhideWhenUsed/>
    <w:rsid w:val="00CD59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6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6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7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62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F50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50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3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.ethics.gc.ca/eng/tcps2-eptc2_2022_chapter3-chapitre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hics.gc.ca/eng/documents/tcps2-2022-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e.ethics.gc.ca/eng/tcps2-eptc2_2022_chapter3-chapitre3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earchethics.ubc.c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ORS</Company>
  <LinksUpToDate>false</LinksUpToDate>
  <CharactersWithSpaces>3971</CharactersWithSpaces>
  <SharedDoc>false</SharedDoc>
  <HLinks>
    <vt:vector size="6" baseType="variant"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http://www.pre.ethics.gc.ca/eng/policy-politique/initiatives/tcps2-eptc2/chapter3-chapitre3/</vt:lpwstr>
      </vt:variant>
      <vt:variant>
        <vt:lpwstr>toc03-1b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Bell</dc:creator>
  <cp:keywords/>
  <dc:description/>
  <cp:lastModifiedBy>Stewart-Gomes, Allison</cp:lastModifiedBy>
  <cp:revision>2</cp:revision>
  <dcterms:created xsi:type="dcterms:W3CDTF">2025-09-04T20:42:00Z</dcterms:created>
  <dcterms:modified xsi:type="dcterms:W3CDTF">2025-09-04T20:42:00Z</dcterms:modified>
</cp:coreProperties>
</file>